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5785F5AB"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5E2DC2">
        <w:rPr>
          <w:rFonts w:eastAsia="MS Mincho" w:cs="Arial"/>
          <w:bCs/>
          <w:sz w:val="28"/>
          <w:szCs w:val="24"/>
          <w:lang w:val="en-US"/>
        </w:rPr>
        <w:t>6</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0E0A13">
        <w:rPr>
          <w:rFonts w:eastAsia="MS Mincho" w:cs="Arial"/>
          <w:bCs/>
          <w:sz w:val="28"/>
          <w:szCs w:val="24"/>
          <w:lang w:val="en-US"/>
        </w:rPr>
        <w:t>0</w:t>
      </w:r>
      <w:r w:rsidR="00CE17EE">
        <w:rPr>
          <w:rFonts w:eastAsia="MS Mincho" w:cs="Arial"/>
          <w:bCs/>
          <w:sz w:val="28"/>
          <w:szCs w:val="24"/>
          <w:lang w:val="en-US"/>
        </w:rPr>
        <w:t>7488</w:t>
      </w:r>
      <w:bookmarkStart w:id="2" w:name="_GoBack"/>
      <w:bookmarkEnd w:id="2"/>
      <w:r w:rsidR="0028673D" w:rsidRPr="0028673D" w:rsidDel="0028673D">
        <w:rPr>
          <w:rFonts w:eastAsia="MS Mincho" w:cs="Arial"/>
          <w:bCs/>
          <w:sz w:val="28"/>
          <w:szCs w:val="24"/>
          <w:lang w:val="en-US"/>
        </w:rPr>
        <w:t xml:space="preserve"> </w:t>
      </w:r>
    </w:p>
    <w:p w14:paraId="1E241712" w14:textId="0D3F973A"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15FE9">
        <w:rPr>
          <w:rFonts w:ascii="Arial" w:eastAsia="MS Mincho" w:hAnsi="Arial" w:cs="Arial"/>
          <w:b/>
          <w:bCs/>
          <w:sz w:val="28"/>
          <w:lang w:eastAsia="ja-JP"/>
        </w:rPr>
        <w:t>A</w:t>
      </w:r>
      <w:r w:rsidR="006466F2">
        <w:rPr>
          <w:rFonts w:ascii="Arial" w:eastAsia="MS Mincho" w:hAnsi="Arial" w:cs="Arial"/>
          <w:b/>
          <w:bCs/>
          <w:sz w:val="28"/>
          <w:lang w:eastAsia="ja-JP"/>
        </w:rPr>
        <w:t>ugust</w:t>
      </w:r>
      <w:r w:rsidR="00EB7F95">
        <w:rPr>
          <w:rFonts w:ascii="Arial" w:eastAsia="MS Mincho" w:hAnsi="Arial" w:cs="Arial"/>
          <w:b/>
          <w:bCs/>
          <w:sz w:val="28"/>
          <w:lang w:eastAsia="ja-JP"/>
        </w:rPr>
        <w:t xml:space="preserve"> </w:t>
      </w:r>
      <w:r w:rsidR="00915FE9">
        <w:rPr>
          <w:rFonts w:ascii="Arial" w:eastAsia="MS Mincho" w:hAnsi="Arial" w:cs="Arial"/>
          <w:b/>
          <w:bCs/>
          <w:sz w:val="28"/>
          <w:lang w:eastAsia="ja-JP"/>
        </w:rPr>
        <w:t>1</w:t>
      </w:r>
      <w:r w:rsidR="006466F2">
        <w:rPr>
          <w:rFonts w:ascii="Arial" w:eastAsia="MS Mincho" w:hAnsi="Arial" w:cs="Arial"/>
          <w:b/>
          <w:bCs/>
          <w:sz w:val="28"/>
          <w:lang w:eastAsia="ja-JP"/>
        </w:rPr>
        <w:t>6</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2</w:t>
      </w:r>
      <w:r w:rsidR="006466F2">
        <w:rPr>
          <w:rFonts w:ascii="Arial" w:eastAsia="MS Mincho" w:hAnsi="Arial" w:cs="Arial"/>
          <w:b/>
          <w:bCs/>
          <w:sz w:val="28"/>
          <w:lang w:eastAsia="ja-JP"/>
        </w:rPr>
        <w:t>7</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2155AD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w:t>
      </w:r>
      <w:r w:rsidR="006466F2">
        <w:rPr>
          <w:rFonts w:cs="Arial"/>
          <w:bCs/>
          <w:sz w:val="28"/>
          <w:szCs w:val="24"/>
          <w:lang w:val="en-US" w:eastAsia="zh-TW"/>
        </w:rPr>
        <w:t>4</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EEEA0DF"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6466F2" w:rsidRPr="006466F2">
        <w:rPr>
          <w:rFonts w:eastAsia="MS Mincho" w:cs="Arial"/>
          <w:bCs/>
          <w:sz w:val="28"/>
          <w:szCs w:val="24"/>
          <w:lang w:val="en-US"/>
        </w:rPr>
        <w:t>Enhancements on HST-SFN deployment</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3" w:name="_Ref4683067"/>
      <w:r w:rsidR="00615E57" w:rsidRPr="00FF32BA">
        <w:rPr>
          <w:rFonts w:eastAsia="MS Mincho" w:cs="Arial"/>
          <w:b/>
          <w:sz w:val="32"/>
          <w:szCs w:val="32"/>
          <w:lang w:val="en-US"/>
        </w:rPr>
        <w:t>Introduction</w:t>
      </w:r>
      <w:bookmarkEnd w:id="3"/>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5E711DB0" w14:textId="64AE2298" w:rsidR="006829A3" w:rsidRDefault="006829A3" w:rsidP="006829A3">
      <w:pPr>
        <w:pStyle w:val="ListParagraph"/>
        <w:numPr>
          <w:ilvl w:val="0"/>
          <w:numId w:val="40"/>
        </w:numPr>
        <w:spacing w:before="100" w:beforeAutospacing="1" w:after="100" w:afterAutospacing="1"/>
        <w:jc w:val="both"/>
      </w:pPr>
      <w:r>
        <w:t>Enhancement to support HST-SFN deployment scenario:</w:t>
      </w:r>
    </w:p>
    <w:p w14:paraId="348CCD6B" w14:textId="0771FE49" w:rsidR="006829A3" w:rsidRDefault="006829A3" w:rsidP="006829A3">
      <w:pPr>
        <w:pStyle w:val="ListParagraph"/>
        <w:numPr>
          <w:ilvl w:val="1"/>
          <w:numId w:val="40"/>
        </w:numPr>
        <w:spacing w:before="100" w:beforeAutospacing="1" w:after="100" w:afterAutospacing="1"/>
        <w:jc w:val="both"/>
      </w:pPr>
      <w:r>
        <w:t>Identify and specify solution(s) on QCL assumption for DMRS, e.g. multiple QCL assumptions for the same DMRS port(s), targeting DL-only transmission</w:t>
      </w:r>
    </w:p>
    <w:p w14:paraId="268FB956" w14:textId="3B34DA90" w:rsidR="006829A3" w:rsidRDefault="006829A3" w:rsidP="006829A3">
      <w:pPr>
        <w:pStyle w:val="ListParagraph"/>
        <w:numPr>
          <w:ilvl w:val="1"/>
          <w:numId w:val="40"/>
        </w:numPr>
        <w:spacing w:before="100" w:beforeAutospacing="1" w:after="100" w:afterAutospacing="1"/>
        <w:jc w:val="both"/>
      </w:pPr>
      <w:r>
        <w:t>Evaluate and, if the benefit over Rel.16 HST enhancement baseline is demonstrated, specify QCL/QCL-like relation (including applicable type(s) and the associated requirement) between DL and UL signal by reusing the unified TCI framework</w:t>
      </w:r>
    </w:p>
    <w:p w14:paraId="5435A1A3" w14:textId="4B65B1CC"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6829A3">
        <w:rPr>
          <w:color w:val="000000" w:themeColor="text1"/>
        </w:rPr>
        <w:t xml:space="preserve">HST-SFN deployment </w:t>
      </w:r>
      <w:r w:rsidR="003052EF">
        <w:rPr>
          <w:color w:val="000000" w:themeColor="text1"/>
        </w:rPr>
        <w:t xml:space="preserve">based on the outcome of </w:t>
      </w:r>
      <w:r w:rsidR="00FA4A92" w:rsidRPr="0073130B">
        <w:rPr>
          <w:color w:val="000000" w:themeColor="text1"/>
        </w:rPr>
        <w:t>the RAN1#10</w:t>
      </w:r>
      <w:r w:rsidR="006829A3">
        <w:rPr>
          <w:color w:val="000000" w:themeColor="text1"/>
        </w:rPr>
        <w:t>5</w:t>
      </w:r>
      <w:r w:rsidR="00FA4A92" w:rsidRPr="0073130B">
        <w:rPr>
          <w:color w:val="000000" w:themeColor="text1"/>
        </w:rPr>
        <w:t>e meeting</w:t>
      </w:r>
      <w:r w:rsidR="003850ED">
        <w:rPr>
          <w:color w:val="000000" w:themeColor="text1"/>
        </w:rPr>
        <w:t xml:space="preserve"> [</w:t>
      </w:r>
      <w:r w:rsidR="006829A3">
        <w:rPr>
          <w:color w:val="000000" w:themeColor="text1"/>
        </w:rPr>
        <w:t>2</w:t>
      </w:r>
      <w:r w:rsidR="003850ED">
        <w:rPr>
          <w:color w:val="000000" w:themeColor="text1"/>
        </w:rPr>
        <w:t>]</w:t>
      </w:r>
      <w:r w:rsidR="0073130B" w:rsidRPr="0073130B">
        <w:rPr>
          <w:color w:val="000000" w:themeColor="text1"/>
        </w:rPr>
        <w:t>.</w:t>
      </w:r>
    </w:p>
    <w:p w14:paraId="31ADE748" w14:textId="53E19A86" w:rsidR="005F5067" w:rsidRDefault="00EB7F95" w:rsidP="006829A3">
      <w:pPr>
        <w:pStyle w:val="Heading1"/>
        <w:numPr>
          <w:ilvl w:val="0"/>
          <w:numId w:val="1"/>
        </w:numPr>
        <w:rPr>
          <w:rFonts w:eastAsia="MS Mincho" w:cs="Arial"/>
          <w:b/>
          <w:sz w:val="32"/>
          <w:szCs w:val="32"/>
          <w:lang w:val="en-US"/>
        </w:rPr>
      </w:pPr>
      <w:r>
        <w:rPr>
          <w:rFonts w:eastAsia="MS Mincho" w:cs="Arial"/>
          <w:b/>
          <w:sz w:val="32"/>
          <w:szCs w:val="32"/>
          <w:lang w:val="en-US"/>
        </w:rPr>
        <w:t xml:space="preserve">Enhancements on </w:t>
      </w:r>
      <w:r w:rsidR="006829A3" w:rsidRPr="006829A3">
        <w:rPr>
          <w:rFonts w:eastAsia="MS Mincho" w:cs="Arial"/>
          <w:b/>
          <w:sz w:val="32"/>
          <w:szCs w:val="32"/>
          <w:lang w:val="en-US"/>
        </w:rPr>
        <w:t xml:space="preserve">HST-SFN deployment </w:t>
      </w:r>
    </w:p>
    <w:p w14:paraId="01E2003A" w14:textId="61A2E21F" w:rsidR="001045E7" w:rsidRDefault="00121843" w:rsidP="00121843">
      <w:pPr>
        <w:pStyle w:val="Heading2"/>
        <w:numPr>
          <w:ilvl w:val="1"/>
          <w:numId w:val="1"/>
        </w:numPr>
      </w:pPr>
      <w:r w:rsidRPr="00121843">
        <w:t xml:space="preserve">QCL types/assumptions when TRS is source </w:t>
      </w:r>
    </w:p>
    <w:p w14:paraId="562F7541" w14:textId="4917DABD" w:rsidR="001045E7" w:rsidRDefault="001045E7" w:rsidP="001045E7">
      <w:pPr>
        <w:rPr>
          <w:lang w:val="en-GB"/>
        </w:rPr>
      </w:pPr>
      <w:r>
        <w:rPr>
          <w:lang w:val="en-GB"/>
        </w:rPr>
        <w:t xml:space="preserve">At the last meeting, </w:t>
      </w:r>
      <w:r w:rsidR="00121843">
        <w:rPr>
          <w:lang w:val="en-GB"/>
        </w:rPr>
        <w:t xml:space="preserve">we made the following working assumption. </w:t>
      </w:r>
      <w:r>
        <w:rPr>
          <w:lang w:val="en-GB"/>
        </w:rPr>
        <w:t xml:space="preserve">We would like to provide our views on these issue in this subsection. </w:t>
      </w:r>
    </w:p>
    <w:tbl>
      <w:tblPr>
        <w:tblStyle w:val="TableGrid"/>
        <w:tblW w:w="0" w:type="auto"/>
        <w:tblLook w:val="04A0" w:firstRow="1" w:lastRow="0" w:firstColumn="1" w:lastColumn="0" w:noHBand="0" w:noVBand="1"/>
      </w:tblPr>
      <w:tblGrid>
        <w:gridCol w:w="9631"/>
      </w:tblGrid>
      <w:tr w:rsidR="001045E7" w14:paraId="228FFFB7" w14:textId="77777777" w:rsidTr="00150C61">
        <w:tc>
          <w:tcPr>
            <w:tcW w:w="9631" w:type="dxa"/>
          </w:tcPr>
          <w:p w14:paraId="0A39D046" w14:textId="77777777" w:rsidR="00121843" w:rsidRPr="000D5A76" w:rsidRDefault="00121843" w:rsidP="00121843">
            <w:pPr>
              <w:rPr>
                <w:rFonts w:cs="Times"/>
                <w:b/>
                <w:bCs/>
                <w:lang w:eastAsia="x-none"/>
              </w:rPr>
            </w:pPr>
            <w:r w:rsidRPr="00055E0C">
              <w:rPr>
                <w:rFonts w:cs="Times"/>
                <w:b/>
                <w:bCs/>
                <w:highlight w:val="darkYellow"/>
                <w:lang w:eastAsia="x-none"/>
              </w:rPr>
              <w:t>Working Assumption</w:t>
            </w:r>
          </w:p>
          <w:p w14:paraId="66F7D5BC" w14:textId="77777777" w:rsidR="00121843" w:rsidRPr="00055E0C" w:rsidRDefault="00121843" w:rsidP="00121843">
            <w:pPr>
              <w:pStyle w:val="ListParagraph"/>
              <w:spacing w:line="259" w:lineRule="auto"/>
              <w:ind w:left="0"/>
              <w:rPr>
                <w:rFonts w:cs="Times"/>
              </w:rPr>
            </w:pPr>
            <w:r w:rsidRPr="00055E0C">
              <w:rPr>
                <w:rFonts w:cs="Times"/>
              </w:rPr>
              <w:t>For TRP-based pre-compensation, Variant A (based on RAN1#103-e meeting agreement) are supported as QCL types/assumption, when the same DMRS port(s) are associated with two TCI states.</w:t>
            </w:r>
          </w:p>
          <w:p w14:paraId="79C55663" w14:textId="5FD0610F" w:rsidR="001045E7" w:rsidRPr="00121843" w:rsidRDefault="00121843" w:rsidP="00121843">
            <w:pPr>
              <w:pStyle w:val="ListParagraph"/>
              <w:numPr>
                <w:ilvl w:val="0"/>
                <w:numId w:val="21"/>
              </w:numPr>
              <w:spacing w:after="0" w:line="259" w:lineRule="auto"/>
            </w:pPr>
            <w:r w:rsidRPr="00AC7D87">
              <w:t>FFS: Additional support of Variant B</w:t>
            </w:r>
          </w:p>
        </w:tc>
      </w:tr>
    </w:tbl>
    <w:p w14:paraId="0951CAC1" w14:textId="77777777" w:rsidR="001045E7" w:rsidRPr="00DA24C3" w:rsidRDefault="001045E7" w:rsidP="001045E7"/>
    <w:p w14:paraId="1C8EF8F7" w14:textId="68313C1C" w:rsidR="001045E7" w:rsidRDefault="00121843" w:rsidP="001045E7">
      <w:pPr>
        <w:rPr>
          <w:lang w:val="en-GB"/>
        </w:rPr>
      </w:pPr>
      <w:r>
        <w:rPr>
          <w:lang w:val="en-GB"/>
        </w:rPr>
        <w:t>When TRS resources is used as source RS in the TCI state, we need to define some QCL variants. From the RAN1#103-e meeing, Variants A, B, C and E were proposed for TRP-based pre-compensation schemes. We think Variant A should be supported and the additional variants are unnecessary. Thus, we have the following proposal.</w:t>
      </w:r>
    </w:p>
    <w:p w14:paraId="391E5F22" w14:textId="00236CF9" w:rsidR="00121843" w:rsidRDefault="001045E7" w:rsidP="001045E7">
      <w:pPr>
        <w:jc w:val="both"/>
        <w:rPr>
          <w:b/>
        </w:rPr>
      </w:pPr>
      <w:r w:rsidRPr="00F20076">
        <w:rPr>
          <w:b/>
        </w:rPr>
        <w:t xml:space="preserve">Proposal 1: </w:t>
      </w:r>
      <w:r w:rsidR="00121843" w:rsidRPr="00121843">
        <w:rPr>
          <w:b/>
        </w:rPr>
        <w:t>Confirm the following working assumption from RAN1#10</w:t>
      </w:r>
      <w:r w:rsidR="00121843">
        <w:rPr>
          <w:b/>
        </w:rPr>
        <w:t>5</w:t>
      </w:r>
      <w:r w:rsidR="00121843" w:rsidRPr="00121843">
        <w:rPr>
          <w:b/>
        </w:rPr>
        <w:t>-e:</w:t>
      </w:r>
    </w:p>
    <w:p w14:paraId="2F6A2FD2" w14:textId="77777777" w:rsidR="00121843" w:rsidRPr="00121843" w:rsidRDefault="00121843" w:rsidP="00121843">
      <w:pPr>
        <w:jc w:val="both"/>
        <w:rPr>
          <w:b/>
        </w:rPr>
      </w:pPr>
      <w:r w:rsidRPr="00121843">
        <w:rPr>
          <w:b/>
        </w:rPr>
        <w:t>For TRP-based pre-compensation, Variant A (based on RAN1#103-e meeting agreement) are supported as QCL types/assumption, when the same DMRS port(s) are associated with two TCI states.</w:t>
      </w:r>
    </w:p>
    <w:p w14:paraId="67474D05" w14:textId="273ACFD4" w:rsidR="00121843" w:rsidRPr="00121843" w:rsidRDefault="00121843" w:rsidP="00121843">
      <w:pPr>
        <w:pStyle w:val="ListParagraph"/>
        <w:numPr>
          <w:ilvl w:val="0"/>
          <w:numId w:val="40"/>
        </w:numPr>
        <w:jc w:val="both"/>
        <w:rPr>
          <w:b/>
        </w:rPr>
      </w:pPr>
      <w:r w:rsidRPr="00121843">
        <w:rPr>
          <w:b/>
        </w:rPr>
        <w:t>FFS: Additional support of Variant B</w:t>
      </w:r>
    </w:p>
    <w:p w14:paraId="271C842A" w14:textId="77777777" w:rsidR="001045E7" w:rsidRDefault="001045E7" w:rsidP="001045E7">
      <w:pPr>
        <w:rPr>
          <w:lang w:val="en-GB"/>
        </w:rPr>
      </w:pPr>
    </w:p>
    <w:p w14:paraId="0C071727" w14:textId="284065AB" w:rsidR="001045E7" w:rsidRDefault="000733E9" w:rsidP="000733E9">
      <w:pPr>
        <w:pStyle w:val="Heading2"/>
        <w:numPr>
          <w:ilvl w:val="1"/>
          <w:numId w:val="1"/>
        </w:numPr>
      </w:pPr>
      <w:r w:rsidRPr="000733E9">
        <w:lastRenderedPageBreak/>
        <w:t xml:space="preserve">QCL-like association between DL and UL RS </w:t>
      </w:r>
    </w:p>
    <w:p w14:paraId="070FE91F" w14:textId="17E1346F" w:rsidR="001045E7" w:rsidRDefault="001045E7" w:rsidP="001045E7">
      <w:pPr>
        <w:jc w:val="both"/>
      </w:pPr>
      <w:r>
        <w:rPr>
          <w:lang w:val="en-GB"/>
        </w:rPr>
        <w:t>T</w:t>
      </w:r>
      <w:r>
        <w:t xml:space="preserve">he following </w:t>
      </w:r>
      <w:r w:rsidR="000733E9">
        <w:t>was also proposed for conclusion at the</w:t>
      </w:r>
      <w:r>
        <w:t xml:space="preserve"> RAN1#10</w:t>
      </w:r>
      <w:r w:rsidR="000733E9">
        <w:t>5-e meeting, but it was not agreed yet.</w:t>
      </w:r>
    </w:p>
    <w:tbl>
      <w:tblPr>
        <w:tblStyle w:val="TableGrid"/>
        <w:tblW w:w="0" w:type="auto"/>
        <w:tblLook w:val="04A0" w:firstRow="1" w:lastRow="0" w:firstColumn="1" w:lastColumn="0" w:noHBand="0" w:noVBand="1"/>
      </w:tblPr>
      <w:tblGrid>
        <w:gridCol w:w="9631"/>
      </w:tblGrid>
      <w:tr w:rsidR="001045E7" w14:paraId="2D5AD9D3" w14:textId="77777777" w:rsidTr="00150C61">
        <w:tc>
          <w:tcPr>
            <w:tcW w:w="9631" w:type="dxa"/>
          </w:tcPr>
          <w:p w14:paraId="6E298AF5" w14:textId="77777777" w:rsidR="000733E9" w:rsidRPr="006E5A38" w:rsidRDefault="000733E9" w:rsidP="000733E9">
            <w:pPr>
              <w:spacing w:after="0"/>
              <w:rPr>
                <w:b/>
                <w:bCs/>
                <w:szCs w:val="22"/>
              </w:rPr>
            </w:pPr>
            <w:r w:rsidRPr="002B289D">
              <w:rPr>
                <w:b/>
                <w:bCs/>
                <w:szCs w:val="22"/>
                <w:highlight w:val="yellow"/>
              </w:rPr>
              <w:t>Proposal #2-</w:t>
            </w:r>
            <w:r>
              <w:rPr>
                <w:b/>
                <w:bCs/>
                <w:szCs w:val="22"/>
                <w:highlight w:val="yellow"/>
              </w:rPr>
              <w:t>4 (for conclusion)</w:t>
            </w:r>
            <w:r w:rsidRPr="002B289D">
              <w:rPr>
                <w:b/>
                <w:bCs/>
                <w:szCs w:val="22"/>
                <w:highlight w:val="yellow"/>
              </w:rPr>
              <w:t>:</w:t>
            </w:r>
          </w:p>
          <w:p w14:paraId="4AC4DD2D" w14:textId="77777777" w:rsidR="000733E9" w:rsidRPr="00A77489" w:rsidRDefault="000733E9" w:rsidP="000733E9">
            <w:pPr>
              <w:pStyle w:val="ListParagraph"/>
              <w:numPr>
                <w:ilvl w:val="0"/>
                <w:numId w:val="42"/>
              </w:numPr>
              <w:spacing w:after="0" w:line="259" w:lineRule="auto"/>
            </w:pPr>
            <w:r w:rsidRPr="00A77489">
              <w:t>For Variant A, B or C (if supported)</w:t>
            </w:r>
          </w:p>
          <w:p w14:paraId="7D1BC4D3" w14:textId="6A20B549" w:rsidR="001045E7" w:rsidRPr="000733E9" w:rsidRDefault="000733E9" w:rsidP="000733E9">
            <w:pPr>
              <w:pStyle w:val="ListParagraph"/>
              <w:numPr>
                <w:ilvl w:val="1"/>
                <w:numId w:val="42"/>
              </w:numPr>
              <w:spacing w:after="0" w:line="259" w:lineRule="auto"/>
            </w:pPr>
            <w:r>
              <w:t>F</w:t>
            </w:r>
            <w:r w:rsidRPr="00A77489">
              <w:t>or frequency offset pre-compensation QCL-like association of the resource(s) received in the 1</w:t>
            </w:r>
            <w:r w:rsidRPr="00A77489">
              <w:rPr>
                <w:vertAlign w:val="superscript"/>
              </w:rPr>
              <w:t>st</w:t>
            </w:r>
            <w:r w:rsidRPr="00A77489">
              <w:t xml:space="preserve"> step with UL signal transmitted in the 2</w:t>
            </w:r>
            <w:r w:rsidRPr="00A77489">
              <w:rPr>
                <w:vertAlign w:val="superscript"/>
              </w:rPr>
              <w:t>nd</w:t>
            </w:r>
            <w:r w:rsidRPr="00A77489">
              <w:t xml:space="preserve"> step is supported by implementation without specification impact</w:t>
            </w:r>
          </w:p>
        </w:tc>
      </w:tr>
    </w:tbl>
    <w:p w14:paraId="11634135" w14:textId="77777777" w:rsidR="001045E7" w:rsidRDefault="001045E7" w:rsidP="001045E7"/>
    <w:p w14:paraId="35A5365B" w14:textId="505BD7CF" w:rsidR="000733E9" w:rsidRDefault="000733E9" w:rsidP="001045E7">
      <w:r>
        <w:t xml:space="preserve">For </w:t>
      </w:r>
      <w:r>
        <w:rPr>
          <w:lang w:val="en-GB"/>
        </w:rPr>
        <w:t>TRP-based pre-compensation schemes, there is no need to restrict center frequency of UL signal in the 2</w:t>
      </w:r>
      <w:r w:rsidRPr="000733E9">
        <w:rPr>
          <w:vertAlign w:val="superscript"/>
          <w:lang w:val="en-GB"/>
        </w:rPr>
        <w:t>nd</w:t>
      </w:r>
      <w:r>
        <w:rPr>
          <w:lang w:val="en-GB"/>
        </w:rPr>
        <w:t xml:space="preserve"> step because gNB can calculate the difference of received UL signals at each TRP regardless of center frequency of UL signal. It can be up to UE implementation. Therefore, we would like to propose the following. </w:t>
      </w:r>
    </w:p>
    <w:p w14:paraId="169B138A" w14:textId="442CD44F" w:rsidR="000733E9" w:rsidRPr="000733E9" w:rsidRDefault="001045E7" w:rsidP="000733E9">
      <w:pPr>
        <w:jc w:val="both"/>
        <w:rPr>
          <w:b/>
        </w:rPr>
      </w:pPr>
      <w:r w:rsidRPr="00F54E33">
        <w:rPr>
          <w:b/>
        </w:rPr>
        <w:t xml:space="preserve">Proposal </w:t>
      </w:r>
      <w:r w:rsidR="000733E9">
        <w:rPr>
          <w:b/>
        </w:rPr>
        <w:t>2</w:t>
      </w:r>
      <w:r>
        <w:rPr>
          <w:b/>
        </w:rPr>
        <w:t xml:space="preserve">: </w:t>
      </w:r>
      <w:r w:rsidR="000733E9" w:rsidRPr="000733E9">
        <w:rPr>
          <w:b/>
        </w:rPr>
        <w:t>For Variant A, B or C (if supported)</w:t>
      </w:r>
    </w:p>
    <w:p w14:paraId="0DB34717" w14:textId="46CD07C5" w:rsidR="000733E9" w:rsidRPr="000733E9" w:rsidRDefault="000733E9" w:rsidP="000733E9">
      <w:pPr>
        <w:pStyle w:val="ListParagraph"/>
        <w:numPr>
          <w:ilvl w:val="0"/>
          <w:numId w:val="42"/>
        </w:numPr>
        <w:jc w:val="both"/>
        <w:rPr>
          <w:b/>
        </w:rPr>
      </w:pPr>
      <w:r w:rsidRPr="000733E9">
        <w:rPr>
          <w:b/>
        </w:rPr>
        <w:t>For frequency offset pre-compensation QCL-like association of the resource(s) received in the 1st step with UL signal transmitted in the 2nd step is supported by implementation without specification impact</w:t>
      </w:r>
    </w:p>
    <w:p w14:paraId="032B7420" w14:textId="2D9BE2D2" w:rsidR="00D82211" w:rsidRDefault="00533B91" w:rsidP="00533B91">
      <w:pPr>
        <w:pStyle w:val="Heading2"/>
        <w:numPr>
          <w:ilvl w:val="1"/>
          <w:numId w:val="1"/>
        </w:numPr>
      </w:pPr>
      <w:r w:rsidRPr="00533B91">
        <w:t xml:space="preserve">Indication of the carrier frequency for UL </w:t>
      </w:r>
    </w:p>
    <w:p w14:paraId="6AC47C22" w14:textId="77777777" w:rsidR="00533B91" w:rsidRDefault="00533B91" w:rsidP="00533B91">
      <w:pPr>
        <w:jc w:val="both"/>
      </w:pPr>
      <w:r w:rsidRPr="00533B91">
        <w:rPr>
          <w:lang w:val="en-GB"/>
        </w:rPr>
        <w:t>T</w:t>
      </w:r>
      <w:r>
        <w:t>he following was also proposed for conclusion at the RAN1#105-e meeting, but it was not agreed yet.</w:t>
      </w:r>
    </w:p>
    <w:tbl>
      <w:tblPr>
        <w:tblStyle w:val="TableGrid"/>
        <w:tblW w:w="0" w:type="auto"/>
        <w:tblLook w:val="04A0" w:firstRow="1" w:lastRow="0" w:firstColumn="1" w:lastColumn="0" w:noHBand="0" w:noVBand="1"/>
      </w:tblPr>
      <w:tblGrid>
        <w:gridCol w:w="9631"/>
      </w:tblGrid>
      <w:tr w:rsidR="00D82211" w14:paraId="39AA7CF7" w14:textId="77777777" w:rsidTr="00150C61">
        <w:tc>
          <w:tcPr>
            <w:tcW w:w="9631" w:type="dxa"/>
          </w:tcPr>
          <w:p w14:paraId="779AE0DC" w14:textId="77777777" w:rsidR="00533B91" w:rsidRPr="006E5A38" w:rsidRDefault="00533B91" w:rsidP="00533B91">
            <w:pPr>
              <w:spacing w:after="0"/>
              <w:rPr>
                <w:b/>
                <w:bCs/>
                <w:szCs w:val="22"/>
              </w:rPr>
            </w:pPr>
            <w:r w:rsidRPr="007A1D25">
              <w:rPr>
                <w:b/>
                <w:bCs/>
                <w:szCs w:val="22"/>
                <w:highlight w:val="yellow"/>
              </w:rPr>
              <w:t>Proposal #2-3:</w:t>
            </w:r>
          </w:p>
          <w:p w14:paraId="0BB141B9" w14:textId="77777777" w:rsidR="00533B91" w:rsidRPr="007A1D25" w:rsidRDefault="00533B91" w:rsidP="00533B91">
            <w:pPr>
              <w:pStyle w:val="ListParagraph"/>
              <w:numPr>
                <w:ilvl w:val="0"/>
                <w:numId w:val="41"/>
              </w:numPr>
              <w:spacing w:after="0" w:line="259" w:lineRule="auto"/>
            </w:pPr>
            <w:r w:rsidRPr="007A1D25">
              <w:t>Indication of carrier frequency for uplink transmission in TRP-based pre-compensation scheme</w:t>
            </w:r>
            <w:r>
              <w:t xml:space="preserve"> is supported using Option 1 and Option 2</w:t>
            </w:r>
          </w:p>
          <w:p w14:paraId="2A331BF8" w14:textId="77777777" w:rsidR="00533B91" w:rsidRDefault="00533B91" w:rsidP="00533B91">
            <w:pPr>
              <w:pStyle w:val="ListParagraph"/>
              <w:numPr>
                <w:ilvl w:val="1"/>
                <w:numId w:val="42"/>
              </w:numPr>
              <w:spacing w:after="0" w:line="259" w:lineRule="auto"/>
            </w:pPr>
            <w:r w:rsidRPr="001C09AB">
              <w:rPr>
                <w:b/>
                <w:bCs/>
              </w:rPr>
              <w:t xml:space="preserve">Option </w:t>
            </w:r>
            <w:r w:rsidRPr="00503E75">
              <w:rPr>
                <w:b/>
                <w:bCs/>
              </w:rPr>
              <w:t>1</w:t>
            </w:r>
            <w:r w:rsidRPr="00503E75">
              <w:t xml:space="preserve"> </w:t>
            </w:r>
            <w:r>
              <w:t>I</w:t>
            </w:r>
            <w:r w:rsidRPr="00503E75">
              <w:t xml:space="preserve">mplicit from RAN1#102-e agreement </w:t>
            </w:r>
          </w:p>
          <w:p w14:paraId="05C4B0B2" w14:textId="77777777" w:rsidR="00533B91" w:rsidRPr="00503E75" w:rsidRDefault="00533B91" w:rsidP="00533B91">
            <w:pPr>
              <w:pStyle w:val="ListParagraph"/>
              <w:numPr>
                <w:ilvl w:val="2"/>
                <w:numId w:val="42"/>
              </w:numPr>
              <w:spacing w:after="0" w:line="259" w:lineRule="auto"/>
            </w:pPr>
            <w:r>
              <w:t xml:space="preserve">FFS enhancements to SRS </w:t>
            </w:r>
            <w:r>
              <w:rPr>
                <w:rFonts w:eastAsiaTheme="minorEastAsia"/>
                <w:lang w:eastAsia="zh-CN"/>
              </w:rPr>
              <w:t>to improve the accuracy of frequency estimation</w:t>
            </w:r>
          </w:p>
          <w:p w14:paraId="65BB4799" w14:textId="77777777" w:rsidR="00533B91" w:rsidRDefault="00533B91" w:rsidP="00533B91">
            <w:pPr>
              <w:pStyle w:val="ListParagraph"/>
              <w:numPr>
                <w:ilvl w:val="1"/>
                <w:numId w:val="42"/>
              </w:numPr>
              <w:spacing w:after="0" w:line="259" w:lineRule="auto"/>
            </w:pPr>
            <w:r w:rsidRPr="00503E75">
              <w:rPr>
                <w:b/>
                <w:bCs/>
              </w:rPr>
              <w:t>Option 2</w:t>
            </w:r>
            <w:r w:rsidRPr="00503E75">
              <w:t xml:space="preserve"> </w:t>
            </w:r>
            <w:r>
              <w:t>E</w:t>
            </w:r>
            <w:r w:rsidRPr="00503E75">
              <w:t xml:space="preserve">xplicit from RAN1#102-e agreement </w:t>
            </w:r>
          </w:p>
          <w:p w14:paraId="5CB6957E" w14:textId="77777777" w:rsidR="00533B91" w:rsidRDefault="00533B91" w:rsidP="00533B91">
            <w:pPr>
              <w:pStyle w:val="ListParagraph"/>
              <w:numPr>
                <w:ilvl w:val="2"/>
                <w:numId w:val="42"/>
              </w:numPr>
              <w:spacing w:after="0" w:line="259" w:lineRule="auto"/>
            </w:pPr>
            <w:r>
              <w:t xml:space="preserve">Option 2 is supported as a separate optional UE feature </w:t>
            </w:r>
          </w:p>
          <w:p w14:paraId="6391E59A" w14:textId="77777777" w:rsidR="00533B91" w:rsidRDefault="00533B91" w:rsidP="00533B91">
            <w:pPr>
              <w:pStyle w:val="ListParagraph"/>
              <w:numPr>
                <w:ilvl w:val="2"/>
                <w:numId w:val="42"/>
              </w:numPr>
              <w:spacing w:after="0" w:line="259" w:lineRule="auto"/>
              <w:contextualSpacing/>
              <w:rPr>
                <w:rFonts w:eastAsia="Malgun Gothic"/>
                <w:lang w:eastAsia="ko-KR"/>
              </w:rPr>
            </w:pPr>
            <w:r>
              <w:rPr>
                <w:rFonts w:eastAsia="Malgun Gothic"/>
                <w:lang w:eastAsia="ko-KR"/>
              </w:rPr>
              <w:t>FFS the following details</w:t>
            </w:r>
          </w:p>
          <w:p w14:paraId="6F22352F" w14:textId="77777777" w:rsidR="00533B91" w:rsidRDefault="00533B91" w:rsidP="00533B91">
            <w:pPr>
              <w:pStyle w:val="ListParagraph"/>
              <w:numPr>
                <w:ilvl w:val="3"/>
                <w:numId w:val="42"/>
              </w:numPr>
              <w:spacing w:after="0" w:line="259" w:lineRule="auto"/>
              <w:contextualSpacing/>
              <w:rPr>
                <w:rFonts w:eastAsia="Malgun Gothic"/>
                <w:lang w:eastAsia="ko-KR"/>
              </w:rPr>
            </w:pPr>
            <w:r>
              <w:rPr>
                <w:rFonts w:eastAsia="Malgun Gothic"/>
                <w:lang w:eastAsia="ko-KR"/>
              </w:rPr>
              <w:t>New report quantity for Doppler reporting</w:t>
            </w:r>
          </w:p>
          <w:p w14:paraId="0E5F5007" w14:textId="77777777" w:rsidR="00533B91" w:rsidRDefault="00533B91" w:rsidP="00533B91">
            <w:pPr>
              <w:pStyle w:val="ListParagraph"/>
              <w:numPr>
                <w:ilvl w:val="3"/>
                <w:numId w:val="42"/>
              </w:numPr>
              <w:spacing w:after="0" w:line="259" w:lineRule="auto"/>
              <w:contextualSpacing/>
              <w:rPr>
                <w:rFonts w:eastAsia="Malgun Gothic"/>
                <w:lang w:eastAsia="ko-KR"/>
              </w:rPr>
            </w:pPr>
            <w:r>
              <w:rPr>
                <w:rFonts w:eastAsia="Malgun Gothic"/>
                <w:lang w:eastAsia="ko-KR"/>
              </w:rPr>
              <w:t xml:space="preserve">TRS as CMR in CSI report setting </w:t>
            </w:r>
          </w:p>
          <w:p w14:paraId="798DCB12" w14:textId="77777777" w:rsidR="00533B91" w:rsidRDefault="00533B91" w:rsidP="00533B91">
            <w:pPr>
              <w:pStyle w:val="ListParagraph"/>
              <w:numPr>
                <w:ilvl w:val="3"/>
                <w:numId w:val="42"/>
              </w:numPr>
              <w:spacing w:after="0" w:line="259" w:lineRule="auto"/>
              <w:contextualSpacing/>
              <w:rPr>
                <w:rFonts w:eastAsia="Malgun Gothic"/>
                <w:lang w:eastAsia="ko-KR"/>
              </w:rPr>
            </w:pPr>
            <w:r>
              <w:rPr>
                <w:rFonts w:eastAsia="Malgun Gothic"/>
                <w:lang w:eastAsia="ko-KR"/>
              </w:rPr>
              <w:t>CSI timeline tables, e.g., the one for RSRP/SINR, for a-CSI</w:t>
            </w:r>
          </w:p>
          <w:p w14:paraId="4FB46A06" w14:textId="77777777" w:rsidR="00533B91" w:rsidRDefault="00533B91" w:rsidP="00533B91">
            <w:pPr>
              <w:pStyle w:val="ListParagraph"/>
              <w:numPr>
                <w:ilvl w:val="3"/>
                <w:numId w:val="42"/>
              </w:numPr>
              <w:spacing w:after="0" w:line="259" w:lineRule="auto"/>
              <w:contextualSpacing/>
              <w:rPr>
                <w:rFonts w:eastAsia="Malgun Gothic"/>
                <w:lang w:eastAsia="ko-KR"/>
              </w:rPr>
            </w:pPr>
            <w:r>
              <w:rPr>
                <w:rFonts w:eastAsia="Malgun Gothic"/>
                <w:lang w:eastAsia="ko-KR"/>
              </w:rPr>
              <w:t>CPU occupation can follow the existing rules for RSRP/SINR</w:t>
            </w:r>
          </w:p>
          <w:p w14:paraId="479852BA" w14:textId="2C8890EA" w:rsidR="00D82211" w:rsidRPr="00533B91" w:rsidRDefault="00533B91" w:rsidP="00533B91">
            <w:pPr>
              <w:pStyle w:val="ListParagraph"/>
              <w:numPr>
                <w:ilvl w:val="1"/>
                <w:numId w:val="42"/>
              </w:numPr>
              <w:spacing w:after="0" w:line="259" w:lineRule="auto"/>
            </w:pPr>
            <w:r>
              <w:t>Note: If details of Doppler reporting in Option 2 are not finalized by end of RAN1#107e, Option 2 is not supported in Rel</w:t>
            </w:r>
            <w:r>
              <w:noBreakHyphen/>
              <w:t>17</w:t>
            </w:r>
          </w:p>
        </w:tc>
      </w:tr>
    </w:tbl>
    <w:p w14:paraId="6B9ECDCE" w14:textId="77777777" w:rsidR="001045E7" w:rsidRDefault="001045E7" w:rsidP="001045E7"/>
    <w:p w14:paraId="06341F45" w14:textId="3B98DBA4" w:rsidR="00533B91" w:rsidRPr="00136808" w:rsidRDefault="00136808" w:rsidP="00D82211">
      <w:pPr>
        <w:rPr>
          <w:rFonts w:eastAsia="Malgun Gothic"/>
          <w:lang w:eastAsia="ko-KR"/>
        </w:rPr>
      </w:pPr>
      <w:r>
        <w:t>If we use option 2 for i</w:t>
      </w:r>
      <w:r w:rsidRPr="007A1D25">
        <w:t>ndication of carrier frequency for uplink transmission in TRP-based pre-compensation scheme</w:t>
      </w:r>
      <w:r>
        <w:t xml:space="preserve">, spec impact would be large because we need to introduce new report quantity for Doppler reporting. CSI timeline should be also updated like mentioned in the proposal. Moreover, the UE complexity will be increased due to one additional Doppler estimation. However, option 1 is naturally supported without current spec change. Further SRS enhancement for option 1 could be also considered but it is not </w:t>
      </w:r>
      <w:r>
        <w:rPr>
          <w:rFonts w:eastAsia="Malgun Gothic" w:hint="eastAsia"/>
          <w:lang w:eastAsia="ko-KR"/>
        </w:rPr>
        <w:t xml:space="preserve">necessary. </w:t>
      </w:r>
      <w:r>
        <w:rPr>
          <w:rFonts w:eastAsia="Malgun Gothic"/>
          <w:lang w:eastAsia="ko-KR"/>
        </w:rPr>
        <w:t>Therefore, we have the following proposal.</w:t>
      </w:r>
    </w:p>
    <w:p w14:paraId="08D1558D" w14:textId="77777777" w:rsidR="00533B91" w:rsidRDefault="00D82211" w:rsidP="00533B91">
      <w:pPr>
        <w:jc w:val="both"/>
        <w:rPr>
          <w:b/>
        </w:rPr>
      </w:pPr>
      <w:r w:rsidRPr="00F54E33">
        <w:rPr>
          <w:b/>
        </w:rPr>
        <w:t xml:space="preserve">Proposal </w:t>
      </w:r>
      <w:r w:rsidR="00533B91">
        <w:rPr>
          <w:b/>
        </w:rPr>
        <w:t>3</w:t>
      </w:r>
      <w:r>
        <w:rPr>
          <w:b/>
        </w:rPr>
        <w:t xml:space="preserve">: </w:t>
      </w:r>
      <w:r w:rsidR="00533B91" w:rsidRPr="00533B91">
        <w:rPr>
          <w:b/>
        </w:rPr>
        <w:t xml:space="preserve">Indication of carrier frequency for uplink transmission in TRP-based pre-compensation scheme is supported using </w:t>
      </w:r>
    </w:p>
    <w:p w14:paraId="73476232" w14:textId="031D4307" w:rsidR="00533B91" w:rsidRPr="00533B91" w:rsidRDefault="00533B91" w:rsidP="00533B91">
      <w:pPr>
        <w:pStyle w:val="ListParagraph"/>
        <w:numPr>
          <w:ilvl w:val="0"/>
          <w:numId w:val="43"/>
        </w:numPr>
        <w:jc w:val="both"/>
        <w:rPr>
          <w:b/>
        </w:rPr>
      </w:pPr>
      <w:r w:rsidRPr="00533B91">
        <w:rPr>
          <w:b/>
        </w:rPr>
        <w:t xml:space="preserve">Implicit from RAN1#102-e agreement </w:t>
      </w:r>
    </w:p>
    <w:p w14:paraId="2DC99C96" w14:textId="62E17FFD" w:rsidR="00533B91" w:rsidRPr="00533B91" w:rsidRDefault="00533B91" w:rsidP="00533B91">
      <w:pPr>
        <w:pStyle w:val="ListParagraph"/>
        <w:numPr>
          <w:ilvl w:val="1"/>
          <w:numId w:val="43"/>
        </w:numPr>
        <w:jc w:val="both"/>
        <w:rPr>
          <w:b/>
        </w:rPr>
      </w:pPr>
      <w:r w:rsidRPr="00533B91">
        <w:rPr>
          <w:rFonts w:hint="eastAsia"/>
          <w:b/>
        </w:rPr>
        <w:t>FFS enhancements to SRS to improve the accuracy of frequency estimation</w:t>
      </w:r>
    </w:p>
    <w:bookmarkEnd w:id="0"/>
    <w:bookmarkEnd w:id="1"/>
    <w:p w14:paraId="0113317C" w14:textId="77777777" w:rsidR="006829A3" w:rsidRDefault="006829A3" w:rsidP="004B32F7">
      <w:pPr>
        <w:jc w:val="both"/>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65499D6D"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proposals:</w:t>
      </w:r>
    </w:p>
    <w:p w14:paraId="738A0ED2" w14:textId="77777777" w:rsidR="00136808" w:rsidRDefault="00136808" w:rsidP="00136808">
      <w:pPr>
        <w:jc w:val="both"/>
        <w:rPr>
          <w:b/>
        </w:rPr>
      </w:pPr>
      <w:r w:rsidRPr="00F20076">
        <w:rPr>
          <w:b/>
        </w:rPr>
        <w:t xml:space="preserve">Proposal 1: </w:t>
      </w:r>
      <w:r w:rsidRPr="00121843">
        <w:rPr>
          <w:b/>
        </w:rPr>
        <w:t>Confirm the following working assumption from RAN1#10</w:t>
      </w:r>
      <w:r>
        <w:rPr>
          <w:b/>
        </w:rPr>
        <w:t>5</w:t>
      </w:r>
      <w:r w:rsidRPr="00121843">
        <w:rPr>
          <w:b/>
        </w:rPr>
        <w:t>-e:</w:t>
      </w:r>
    </w:p>
    <w:p w14:paraId="126780A2" w14:textId="77777777" w:rsidR="00136808" w:rsidRPr="00121843" w:rsidRDefault="00136808" w:rsidP="00136808">
      <w:pPr>
        <w:jc w:val="both"/>
        <w:rPr>
          <w:b/>
        </w:rPr>
      </w:pPr>
      <w:r w:rsidRPr="00121843">
        <w:rPr>
          <w:b/>
        </w:rPr>
        <w:t>For TRP-based pre-compensation, Variant A (based on RAN1#103-e meeting agreement) are supported as QCL types/assumption, when the same DMRS port(s) are associated with two TCI states.</w:t>
      </w:r>
    </w:p>
    <w:p w14:paraId="27BE8186" w14:textId="77777777" w:rsidR="00136808" w:rsidRPr="00121843" w:rsidRDefault="00136808" w:rsidP="00136808">
      <w:pPr>
        <w:pStyle w:val="ListParagraph"/>
        <w:numPr>
          <w:ilvl w:val="0"/>
          <w:numId w:val="40"/>
        </w:numPr>
        <w:jc w:val="both"/>
        <w:rPr>
          <w:b/>
        </w:rPr>
      </w:pPr>
      <w:r w:rsidRPr="00121843">
        <w:rPr>
          <w:b/>
        </w:rPr>
        <w:t>FFS: Additional support of Variant B</w:t>
      </w:r>
    </w:p>
    <w:p w14:paraId="6C5152B4" w14:textId="77777777" w:rsidR="00136808" w:rsidRPr="000733E9" w:rsidRDefault="00136808" w:rsidP="00136808">
      <w:pPr>
        <w:jc w:val="both"/>
        <w:rPr>
          <w:b/>
        </w:rPr>
      </w:pPr>
      <w:r w:rsidRPr="00F54E33">
        <w:rPr>
          <w:b/>
        </w:rPr>
        <w:t xml:space="preserve">Proposal </w:t>
      </w:r>
      <w:r>
        <w:rPr>
          <w:b/>
        </w:rPr>
        <w:t xml:space="preserve">2: </w:t>
      </w:r>
      <w:r w:rsidRPr="000733E9">
        <w:rPr>
          <w:b/>
        </w:rPr>
        <w:t>For Variant A, B or C (if supported)</w:t>
      </w:r>
    </w:p>
    <w:p w14:paraId="06DEBCB4" w14:textId="77777777" w:rsidR="00136808" w:rsidRPr="000733E9" w:rsidRDefault="00136808" w:rsidP="00136808">
      <w:pPr>
        <w:pStyle w:val="ListParagraph"/>
        <w:numPr>
          <w:ilvl w:val="0"/>
          <w:numId w:val="42"/>
        </w:numPr>
        <w:jc w:val="both"/>
        <w:rPr>
          <w:b/>
        </w:rPr>
      </w:pPr>
      <w:r w:rsidRPr="000733E9">
        <w:rPr>
          <w:b/>
        </w:rPr>
        <w:t>For frequency offset pre-compensation QCL-like association of the resource(s) received in the 1st step with UL signal transmitted in the 2nd step is supported by implementation without specification impact</w:t>
      </w:r>
    </w:p>
    <w:p w14:paraId="7D63101E" w14:textId="77777777" w:rsidR="00136808" w:rsidRDefault="00136808" w:rsidP="00136808">
      <w:pPr>
        <w:jc w:val="both"/>
        <w:rPr>
          <w:b/>
        </w:rPr>
      </w:pPr>
      <w:r w:rsidRPr="00F54E33">
        <w:rPr>
          <w:b/>
        </w:rPr>
        <w:t xml:space="preserve">Proposal </w:t>
      </w:r>
      <w:r>
        <w:rPr>
          <w:b/>
        </w:rPr>
        <w:t xml:space="preserve">3: </w:t>
      </w:r>
      <w:r w:rsidRPr="00533B91">
        <w:rPr>
          <w:b/>
        </w:rPr>
        <w:t xml:space="preserve">Indication of carrier frequency for uplink transmission in TRP-based pre-compensation scheme is supported using </w:t>
      </w:r>
    </w:p>
    <w:p w14:paraId="5C6E5492" w14:textId="77777777" w:rsidR="00136808" w:rsidRPr="00533B91" w:rsidRDefault="00136808" w:rsidP="00136808">
      <w:pPr>
        <w:pStyle w:val="ListParagraph"/>
        <w:numPr>
          <w:ilvl w:val="0"/>
          <w:numId w:val="43"/>
        </w:numPr>
        <w:jc w:val="both"/>
        <w:rPr>
          <w:b/>
        </w:rPr>
      </w:pPr>
      <w:r w:rsidRPr="00533B91">
        <w:rPr>
          <w:b/>
        </w:rPr>
        <w:t xml:space="preserve">Implicit from RAN1#102-e agreement </w:t>
      </w:r>
    </w:p>
    <w:p w14:paraId="0FAF40AE" w14:textId="77777777" w:rsidR="00136808" w:rsidRPr="00533B91" w:rsidRDefault="00136808" w:rsidP="00136808">
      <w:pPr>
        <w:pStyle w:val="ListParagraph"/>
        <w:numPr>
          <w:ilvl w:val="1"/>
          <w:numId w:val="43"/>
        </w:numPr>
        <w:jc w:val="both"/>
        <w:rPr>
          <w:b/>
        </w:rPr>
      </w:pPr>
      <w:r w:rsidRPr="00533B91">
        <w:rPr>
          <w:rFonts w:hint="eastAsia"/>
          <w:b/>
        </w:rPr>
        <w:t>FFS enhancements to SRS to improve the accuracy of frequency estimation</w:t>
      </w:r>
    </w:p>
    <w:p w14:paraId="1B99BA3A" w14:textId="77777777" w:rsidR="00136808" w:rsidRDefault="00136808" w:rsidP="001045E7">
      <w:pPr>
        <w:jc w:val="both"/>
        <w:rPr>
          <w:b/>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0EB95126" w:rsidR="003850ED" w:rsidRPr="004F6DA8" w:rsidRDefault="003850ED" w:rsidP="003850ED">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C33E0E">
        <w:rPr>
          <w:bCs/>
          <w:lang w:eastAsia="zh-TW"/>
        </w:rPr>
        <w:t>.</w:t>
      </w:r>
    </w:p>
    <w:p w14:paraId="49F47089" w14:textId="7534AE64" w:rsidR="0018460A" w:rsidRPr="00C33E0E" w:rsidRDefault="003850ED" w:rsidP="0018460A">
      <w:pPr>
        <w:numPr>
          <w:ilvl w:val="0"/>
          <w:numId w:val="2"/>
        </w:numPr>
        <w:jc w:val="both"/>
      </w:pPr>
      <w:r>
        <w:rPr>
          <w:szCs w:val="22"/>
        </w:rPr>
        <w:t>Chairman’s Notes, RAN1 #10</w:t>
      </w:r>
      <w:r w:rsidR="006829A3">
        <w:rPr>
          <w:szCs w:val="22"/>
        </w:rPr>
        <w:t>5</w:t>
      </w:r>
      <w:r>
        <w:rPr>
          <w:szCs w:val="22"/>
        </w:rPr>
        <w:t xml:space="preserve">e, e-Meeting, </w:t>
      </w:r>
      <w:r w:rsidR="006829A3">
        <w:rPr>
          <w:szCs w:val="22"/>
        </w:rPr>
        <w:t>May 10</w:t>
      </w:r>
      <w:r w:rsidR="00915FE9" w:rsidRPr="003850ED">
        <w:t>–</w:t>
      </w:r>
      <w:r w:rsidR="006829A3">
        <w:t>27</w:t>
      </w:r>
      <w:r>
        <w:rPr>
          <w:szCs w:val="22"/>
        </w:rPr>
        <w:t>, 202</w:t>
      </w:r>
      <w:r w:rsidR="00915FE9">
        <w:rPr>
          <w:szCs w:val="22"/>
        </w:rPr>
        <w:t>1</w:t>
      </w:r>
      <w:r>
        <w:rPr>
          <w:szCs w:val="22"/>
        </w:rPr>
        <w:t>.</w:t>
      </w:r>
    </w:p>
    <w:sectPr w:rsidR="0018460A" w:rsidRPr="00C33E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698E5" w14:textId="77777777" w:rsidR="00C268D8" w:rsidRDefault="00C268D8">
      <w:r>
        <w:separator/>
      </w:r>
    </w:p>
  </w:endnote>
  <w:endnote w:type="continuationSeparator" w:id="0">
    <w:p w14:paraId="3DFB8357" w14:textId="77777777" w:rsidR="00C268D8" w:rsidRDefault="00C2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1D67E" w14:textId="77777777" w:rsidR="00C268D8" w:rsidRDefault="00C268D8">
      <w:r>
        <w:separator/>
      </w:r>
    </w:p>
  </w:footnote>
  <w:footnote w:type="continuationSeparator" w:id="0">
    <w:p w14:paraId="55DFC93D" w14:textId="77777777" w:rsidR="00C268D8" w:rsidRDefault="00C26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561263"/>
    <w:multiLevelType w:val="hybridMultilevel"/>
    <w:tmpl w:val="E95AD6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AC6275"/>
    <w:multiLevelType w:val="hybridMultilevel"/>
    <w:tmpl w:val="FFEED18E"/>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A44E9F"/>
    <w:multiLevelType w:val="hybridMultilevel"/>
    <w:tmpl w:val="C9D821C2"/>
    <w:lvl w:ilvl="0" w:tplc="0060B832">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B036B8"/>
    <w:multiLevelType w:val="hybridMultilevel"/>
    <w:tmpl w:val="2C86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1"/>
  </w:num>
  <w:num w:numId="2">
    <w:abstractNumId w:val="10"/>
  </w:num>
  <w:num w:numId="3">
    <w:abstractNumId w:val="32"/>
  </w:num>
  <w:num w:numId="4">
    <w:abstractNumId w:val="1"/>
  </w:num>
  <w:num w:numId="5">
    <w:abstractNumId w:val="0"/>
  </w:num>
  <w:num w:numId="6">
    <w:abstractNumId w:val="20"/>
  </w:num>
  <w:num w:numId="7">
    <w:abstractNumId w:val="7"/>
  </w:num>
  <w:num w:numId="8">
    <w:abstractNumId w:val="21"/>
  </w:num>
  <w:num w:numId="9">
    <w:abstractNumId w:val="4"/>
  </w:num>
  <w:num w:numId="10">
    <w:abstractNumId w:val="29"/>
  </w:num>
  <w:num w:numId="11">
    <w:abstractNumId w:val="40"/>
  </w:num>
  <w:num w:numId="12">
    <w:abstractNumId w:val="37"/>
  </w:num>
  <w:num w:numId="13">
    <w:abstractNumId w:val="12"/>
  </w:num>
  <w:num w:numId="14">
    <w:abstractNumId w:val="27"/>
  </w:num>
  <w:num w:numId="15">
    <w:abstractNumId w:val="2"/>
  </w:num>
  <w:num w:numId="16">
    <w:abstractNumId w:val="22"/>
  </w:num>
  <w:num w:numId="17">
    <w:abstractNumId w:val="25"/>
  </w:num>
  <w:num w:numId="18">
    <w:abstractNumId w:val="8"/>
  </w:num>
  <w:num w:numId="19">
    <w:abstractNumId w:val="30"/>
  </w:num>
  <w:num w:numId="20">
    <w:abstractNumId w:val="15"/>
  </w:num>
  <w:num w:numId="21">
    <w:abstractNumId w:val="3"/>
  </w:num>
  <w:num w:numId="22">
    <w:abstractNumId w:val="19"/>
  </w:num>
  <w:num w:numId="23">
    <w:abstractNumId w:val="36"/>
  </w:num>
  <w:num w:numId="24">
    <w:abstractNumId w:val="24"/>
  </w:num>
  <w:num w:numId="25">
    <w:abstractNumId w:val="18"/>
  </w:num>
  <w:num w:numId="26">
    <w:abstractNumId w:val="14"/>
  </w:num>
  <w:num w:numId="27">
    <w:abstractNumId w:val="34"/>
  </w:num>
  <w:num w:numId="28">
    <w:abstractNumId w:val="34"/>
  </w:num>
  <w:num w:numId="29">
    <w:abstractNumId w:val="26"/>
  </w:num>
  <w:num w:numId="30">
    <w:abstractNumId w:val="17"/>
  </w:num>
  <w:num w:numId="31">
    <w:abstractNumId w:val="13"/>
  </w:num>
  <w:num w:numId="32">
    <w:abstractNumId w:val="5"/>
  </w:num>
  <w:num w:numId="33">
    <w:abstractNumId w:val="39"/>
  </w:num>
  <w:num w:numId="34">
    <w:abstractNumId w:val="11"/>
  </w:num>
  <w:num w:numId="35">
    <w:abstractNumId w:val="28"/>
  </w:num>
  <w:num w:numId="36">
    <w:abstractNumId w:val="33"/>
  </w:num>
  <w:num w:numId="37">
    <w:abstractNumId w:val="35"/>
  </w:num>
  <w:num w:numId="38">
    <w:abstractNumId w:val="6"/>
  </w:num>
  <w:num w:numId="39">
    <w:abstractNumId w:val="23"/>
  </w:num>
  <w:num w:numId="40">
    <w:abstractNumId w:val="38"/>
  </w:num>
  <w:num w:numId="41">
    <w:abstractNumId w:val="9"/>
  </w:num>
  <w:num w:numId="42">
    <w:abstractNumId w:val="16"/>
  </w:num>
  <w:num w:numId="4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394"/>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2748"/>
    <w:rsid w:val="00072CB2"/>
    <w:rsid w:val="00072F1D"/>
    <w:rsid w:val="000733E9"/>
    <w:rsid w:val="0007366A"/>
    <w:rsid w:val="00073E65"/>
    <w:rsid w:val="00074087"/>
    <w:rsid w:val="00074573"/>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2118"/>
    <w:rsid w:val="000D4C0A"/>
    <w:rsid w:val="000D57E7"/>
    <w:rsid w:val="000D6CFC"/>
    <w:rsid w:val="000D7671"/>
    <w:rsid w:val="000E0A13"/>
    <w:rsid w:val="000E1A38"/>
    <w:rsid w:val="000E1D47"/>
    <w:rsid w:val="000E3CC4"/>
    <w:rsid w:val="000E69EA"/>
    <w:rsid w:val="000E7047"/>
    <w:rsid w:val="000E71D0"/>
    <w:rsid w:val="000E7761"/>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45E7"/>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843"/>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2C6"/>
    <w:rsid w:val="00135703"/>
    <w:rsid w:val="00136808"/>
    <w:rsid w:val="00137B0F"/>
    <w:rsid w:val="0014010C"/>
    <w:rsid w:val="00141D07"/>
    <w:rsid w:val="00142BB4"/>
    <w:rsid w:val="001435BA"/>
    <w:rsid w:val="00143961"/>
    <w:rsid w:val="00144969"/>
    <w:rsid w:val="00144B7E"/>
    <w:rsid w:val="00145DEE"/>
    <w:rsid w:val="00146137"/>
    <w:rsid w:val="001462C1"/>
    <w:rsid w:val="00146D7C"/>
    <w:rsid w:val="001505FA"/>
    <w:rsid w:val="00150891"/>
    <w:rsid w:val="00150C61"/>
    <w:rsid w:val="00150FA5"/>
    <w:rsid w:val="00152EF4"/>
    <w:rsid w:val="00153455"/>
    <w:rsid w:val="00153528"/>
    <w:rsid w:val="001535C3"/>
    <w:rsid w:val="00155DFC"/>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4D4"/>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123"/>
    <w:rsid w:val="00237DB8"/>
    <w:rsid w:val="00241D4B"/>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24D"/>
    <w:rsid w:val="002E348D"/>
    <w:rsid w:val="002E368C"/>
    <w:rsid w:val="002E3D8C"/>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66C"/>
    <w:rsid w:val="00357795"/>
    <w:rsid w:val="00360B1F"/>
    <w:rsid w:val="00360E6B"/>
    <w:rsid w:val="00362426"/>
    <w:rsid w:val="00363BE0"/>
    <w:rsid w:val="00364712"/>
    <w:rsid w:val="00364CFD"/>
    <w:rsid w:val="003654E0"/>
    <w:rsid w:val="003669FD"/>
    <w:rsid w:val="00367724"/>
    <w:rsid w:val="00367736"/>
    <w:rsid w:val="003679F0"/>
    <w:rsid w:val="00370D33"/>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143"/>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3F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0CBE"/>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17DD"/>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3B91"/>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496F"/>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2DC2"/>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0D3"/>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1A59"/>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66F2"/>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C3D"/>
    <w:rsid w:val="00675876"/>
    <w:rsid w:val="00675AB9"/>
    <w:rsid w:val="00675FC2"/>
    <w:rsid w:val="006763A3"/>
    <w:rsid w:val="006767D6"/>
    <w:rsid w:val="00676B87"/>
    <w:rsid w:val="00676E92"/>
    <w:rsid w:val="00677A8C"/>
    <w:rsid w:val="00677F98"/>
    <w:rsid w:val="006801FF"/>
    <w:rsid w:val="00682513"/>
    <w:rsid w:val="00682728"/>
    <w:rsid w:val="006829A3"/>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EB8"/>
    <w:rsid w:val="006911DC"/>
    <w:rsid w:val="006924F4"/>
    <w:rsid w:val="0069304E"/>
    <w:rsid w:val="006942B8"/>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0A49"/>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017"/>
    <w:rsid w:val="007B07EC"/>
    <w:rsid w:val="007B0AF4"/>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3E0D"/>
    <w:rsid w:val="007F4520"/>
    <w:rsid w:val="007F5E10"/>
    <w:rsid w:val="007F62EA"/>
    <w:rsid w:val="007F7D3F"/>
    <w:rsid w:val="00801506"/>
    <w:rsid w:val="0080168B"/>
    <w:rsid w:val="008017E1"/>
    <w:rsid w:val="00802098"/>
    <w:rsid w:val="008023A0"/>
    <w:rsid w:val="008029C2"/>
    <w:rsid w:val="00803689"/>
    <w:rsid w:val="00804017"/>
    <w:rsid w:val="008048F5"/>
    <w:rsid w:val="008068D7"/>
    <w:rsid w:val="00810752"/>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60E9"/>
    <w:rsid w:val="008C64E5"/>
    <w:rsid w:val="008D02A0"/>
    <w:rsid w:val="008D134C"/>
    <w:rsid w:val="008D37E5"/>
    <w:rsid w:val="008D3EF2"/>
    <w:rsid w:val="008D3F4C"/>
    <w:rsid w:val="008D496E"/>
    <w:rsid w:val="008D4A19"/>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C87"/>
    <w:rsid w:val="00957FF2"/>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3AF0"/>
    <w:rsid w:val="009D440F"/>
    <w:rsid w:val="009D5998"/>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1027"/>
    <w:rsid w:val="00A0181F"/>
    <w:rsid w:val="00A01BCB"/>
    <w:rsid w:val="00A02716"/>
    <w:rsid w:val="00A02F86"/>
    <w:rsid w:val="00A03F14"/>
    <w:rsid w:val="00A0491A"/>
    <w:rsid w:val="00A05586"/>
    <w:rsid w:val="00A059C4"/>
    <w:rsid w:val="00A06301"/>
    <w:rsid w:val="00A06F8E"/>
    <w:rsid w:val="00A07000"/>
    <w:rsid w:val="00A10806"/>
    <w:rsid w:val="00A108E3"/>
    <w:rsid w:val="00A10CE2"/>
    <w:rsid w:val="00A11292"/>
    <w:rsid w:val="00A115C6"/>
    <w:rsid w:val="00A11A86"/>
    <w:rsid w:val="00A12436"/>
    <w:rsid w:val="00A12C4E"/>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1A7C"/>
    <w:rsid w:val="00A71AE6"/>
    <w:rsid w:val="00A72F72"/>
    <w:rsid w:val="00A73A0F"/>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3A0"/>
    <w:rsid w:val="00B2759C"/>
    <w:rsid w:val="00B27F9F"/>
    <w:rsid w:val="00B300C3"/>
    <w:rsid w:val="00B3043B"/>
    <w:rsid w:val="00B30A1B"/>
    <w:rsid w:val="00B3269E"/>
    <w:rsid w:val="00B33CBD"/>
    <w:rsid w:val="00B34E41"/>
    <w:rsid w:val="00B35290"/>
    <w:rsid w:val="00B35836"/>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5D63"/>
    <w:rsid w:val="00B663F7"/>
    <w:rsid w:val="00B664FC"/>
    <w:rsid w:val="00B67FB3"/>
    <w:rsid w:val="00B712D7"/>
    <w:rsid w:val="00B7246B"/>
    <w:rsid w:val="00B73609"/>
    <w:rsid w:val="00B73EDC"/>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94C"/>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8D8"/>
    <w:rsid w:val="00C26B3B"/>
    <w:rsid w:val="00C26E91"/>
    <w:rsid w:val="00C276C6"/>
    <w:rsid w:val="00C30821"/>
    <w:rsid w:val="00C31179"/>
    <w:rsid w:val="00C31D72"/>
    <w:rsid w:val="00C330F1"/>
    <w:rsid w:val="00C33729"/>
    <w:rsid w:val="00C33E0E"/>
    <w:rsid w:val="00C33F66"/>
    <w:rsid w:val="00C33F6C"/>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8E8"/>
    <w:rsid w:val="00CD4E31"/>
    <w:rsid w:val="00CD5CCA"/>
    <w:rsid w:val="00CD6646"/>
    <w:rsid w:val="00CD718D"/>
    <w:rsid w:val="00CD753E"/>
    <w:rsid w:val="00CE01E5"/>
    <w:rsid w:val="00CE083C"/>
    <w:rsid w:val="00CE09A3"/>
    <w:rsid w:val="00CE09E9"/>
    <w:rsid w:val="00CE0EBB"/>
    <w:rsid w:val="00CE155E"/>
    <w:rsid w:val="00CE17EE"/>
    <w:rsid w:val="00CE3E2D"/>
    <w:rsid w:val="00CE530F"/>
    <w:rsid w:val="00CE6AE3"/>
    <w:rsid w:val="00CE7B9B"/>
    <w:rsid w:val="00CF0B17"/>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211"/>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67A1"/>
    <w:rsid w:val="00DB6D1D"/>
    <w:rsid w:val="00DB7333"/>
    <w:rsid w:val="00DB767A"/>
    <w:rsid w:val="00DB7C82"/>
    <w:rsid w:val="00DB7E10"/>
    <w:rsid w:val="00DC1E8B"/>
    <w:rsid w:val="00DC4735"/>
    <w:rsid w:val="00DC4860"/>
    <w:rsid w:val="00DC74A5"/>
    <w:rsid w:val="00DC7743"/>
    <w:rsid w:val="00DC78E0"/>
    <w:rsid w:val="00DD00ED"/>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6F4"/>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72BD"/>
    <w:rsid w:val="00DE7F39"/>
    <w:rsid w:val="00DF1843"/>
    <w:rsid w:val="00DF1E5C"/>
    <w:rsid w:val="00DF22DD"/>
    <w:rsid w:val="00DF4378"/>
    <w:rsid w:val="00DF58AC"/>
    <w:rsid w:val="00DF71C5"/>
    <w:rsid w:val="00DF75BF"/>
    <w:rsid w:val="00E0016C"/>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464BF"/>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DF6"/>
    <w:rsid w:val="00EE7010"/>
    <w:rsid w:val="00EE78ED"/>
    <w:rsid w:val="00EF0F41"/>
    <w:rsid w:val="00EF27B8"/>
    <w:rsid w:val="00EF2946"/>
    <w:rsid w:val="00EF2BD2"/>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0965"/>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AB4"/>
    <w:rsid w:val="00FD4D12"/>
    <w:rsid w:val="00FD4DF8"/>
    <w:rsid w:val="00FD5D12"/>
    <w:rsid w:val="00FD6178"/>
    <w:rsid w:val="00FD6180"/>
    <w:rsid w:val="00FD7A60"/>
    <w:rsid w:val="00FE2D5A"/>
    <w:rsid w:val="00FE387D"/>
    <w:rsid w:val="00FE3C4C"/>
    <w:rsid w:val="00FE3F7E"/>
    <w:rsid w:val="00FE453B"/>
    <w:rsid w:val="00FE6820"/>
    <w:rsid w:val="00FE709C"/>
    <w:rsid w:val="00FE7925"/>
    <w:rsid w:val="00FE7CF7"/>
    <w:rsid w:val="00FE7E67"/>
    <w:rsid w:val="00FF225F"/>
    <w:rsid w:val="00FF2640"/>
    <w:rsid w:val="00FF32BA"/>
    <w:rsid w:val="00FF380C"/>
    <w:rsid w:val="00FF4498"/>
    <w:rsid w:val="00FF46A7"/>
    <w:rsid w:val="00FF4951"/>
    <w:rsid w:val="00FF5425"/>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 w:type="character" w:customStyle="1" w:styleId="PLChar">
    <w:name w:val="PL Char"/>
    <w:link w:val="PL"/>
    <w:qFormat/>
    <w:rsid w:val="001956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1413892471">
          <w:marLeft w:val="547"/>
          <w:marRight w:val="0"/>
          <w:marTop w:val="77"/>
          <w:marBottom w:val="0"/>
          <w:divBdr>
            <w:top w:val="none" w:sz="0" w:space="0" w:color="auto"/>
            <w:left w:val="none" w:sz="0" w:space="0" w:color="auto"/>
            <w:bottom w:val="none" w:sz="0" w:space="0" w:color="auto"/>
            <w:right w:val="none" w:sz="0" w:space="0" w:color="auto"/>
          </w:divBdr>
        </w:div>
        <w:div w:id="528185264">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54CA024E-3005-4879-A667-1E82F8D4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2021-04-06T15:26:00Z</dcterms:created>
  <dcterms:modified xsi:type="dcterms:W3CDTF">2021-08-06T01:01:00Z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